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A5" w:rsidRDefault="009060A5" w:rsidP="009060A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44"/>
          <w:szCs w:val="24"/>
          <w:lang w:eastAsia="ru-RU"/>
        </w:rPr>
      </w:pPr>
    </w:p>
    <w:p w:rsidR="009060A5" w:rsidRDefault="009060A5" w:rsidP="009060A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44"/>
          <w:szCs w:val="24"/>
          <w:lang w:eastAsia="ru-RU"/>
        </w:rPr>
      </w:pPr>
    </w:p>
    <w:p w:rsidR="009060A5" w:rsidRPr="009060A5" w:rsidRDefault="009060A5" w:rsidP="009060A5">
      <w:pPr>
        <w:spacing w:after="0" w:line="240" w:lineRule="auto"/>
        <w:rPr>
          <w:rFonts w:ascii="Arial" w:eastAsia="Times New Roman" w:hAnsi="Arial" w:cs="Arial"/>
          <w:iCs/>
          <w:sz w:val="144"/>
          <w:szCs w:val="24"/>
          <w:lang w:eastAsia="ru-RU"/>
        </w:rPr>
      </w:pPr>
    </w:p>
    <w:p w:rsidR="009060A5" w:rsidRPr="009060A5" w:rsidRDefault="00672DAB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Материалы </w:t>
      </w:r>
      <w:proofErr w:type="spellStart"/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самообследования</w:t>
      </w:r>
      <w:proofErr w:type="spellEnd"/>
    </w:p>
    <w:p w:rsid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МОУ «Средняя общеобразовательная школа №13»</w:t>
      </w:r>
    </w:p>
    <w:p w:rsidR="00672DAB" w:rsidRPr="009060A5" w:rsidRDefault="00672DAB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ерпухова</w:t>
      </w:r>
      <w:proofErr w:type="spellEnd"/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Московской области</w:t>
      </w:r>
    </w:p>
    <w:p w:rsidR="009E5A36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в 2013/2014 учебном году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.</w:t>
      </w: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9060A5">
      <w:pPr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9060A5" w:rsidRDefault="009060A5" w:rsidP="00672DAB">
      <w:pP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bookmarkStart w:id="0" w:name="_GoBack"/>
      <w:bookmarkEnd w:id="0"/>
    </w:p>
    <w:p w:rsidR="009060A5" w:rsidRPr="009060A5" w:rsidRDefault="009060A5" w:rsidP="009060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lastRenderedPageBreak/>
        <w:t>Анализ учебно-воспитательного процесса</w:t>
      </w:r>
    </w:p>
    <w:p w:rsidR="009060A5" w:rsidRPr="009060A5" w:rsidRDefault="009060A5" w:rsidP="009060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 xml:space="preserve">       за 2013 – 2014 учебный год.  </w:t>
      </w:r>
    </w:p>
    <w:p w:rsidR="009060A5" w:rsidRPr="009060A5" w:rsidRDefault="009060A5" w:rsidP="00906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учащимися школа руководствуется Законом РФ «Об образовании», Типовым положением об общеобразовательном учреждении, Уставом школы, методическими письмами и рекомендациями Министерства образования, внутренними положениями, в которых определён круг регулируемых вопросов о правах и обязанностях участников образовательного процесса.</w:t>
      </w:r>
    </w:p>
    <w:p w:rsidR="009060A5" w:rsidRPr="009060A5" w:rsidRDefault="009060A5" w:rsidP="009060A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школы на 2013-2014 учебный год был составлен на основе базисного учебного плана 2004 г. для 4 класса и  5-11 классов, а также на основе ФГОС начального общего образования, введенного в действие приказом Министерства образования РФ от 06 октября 2009 года № 373 – для 1- 3  классов, с учетом регионального учебного плана, утвержденного приказом Министерства образования Московской области от 02.08.2013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2958. Учебный план школы предусматривал изучение всех предметов на базовом уровне на всех ступенях обучения. На ступени среднего общего образования реализовывалось универсальное обучение.</w:t>
      </w:r>
    </w:p>
    <w:p w:rsidR="009060A5" w:rsidRPr="009060A5" w:rsidRDefault="009060A5" w:rsidP="009060A5">
      <w:pPr>
        <w:tabs>
          <w:tab w:val="left" w:pos="1800"/>
        </w:tabs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– 2014 учебном году школа работала в режиме 5-дневной недели, имела 15 классов, 413 учащихся. </w:t>
      </w:r>
    </w:p>
    <w:p w:rsidR="009060A5" w:rsidRPr="009060A5" w:rsidRDefault="009060A5" w:rsidP="009060A5">
      <w:pPr>
        <w:tabs>
          <w:tab w:val="left" w:pos="1800"/>
        </w:tabs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ступеням образования распределение количества учащихся таково:</w:t>
      </w:r>
    </w:p>
    <w:p w:rsidR="009060A5" w:rsidRPr="009060A5" w:rsidRDefault="009060A5" w:rsidP="009060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– 8 классов – 196 учащихся;</w:t>
      </w:r>
    </w:p>
    <w:p w:rsidR="009060A5" w:rsidRPr="009060A5" w:rsidRDefault="009060A5" w:rsidP="009060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– 5 классов – 159 учащихся;</w:t>
      </w:r>
    </w:p>
    <w:p w:rsidR="009060A5" w:rsidRPr="009060A5" w:rsidRDefault="009060A5" w:rsidP="009060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 – 2 класса – 58 учащихся.</w:t>
      </w: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классов – 27,53 человек.</w:t>
      </w: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ниже таблице указано изменение контингента учащихся за 5 лет.</w:t>
      </w: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04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1701"/>
        <w:gridCol w:w="1701"/>
        <w:gridCol w:w="1574"/>
        <w:gridCol w:w="1776"/>
      </w:tblGrid>
      <w:tr w:rsidR="009060A5" w:rsidRPr="009060A5" w:rsidTr="009060A5">
        <w:trPr>
          <w:trHeight w:val="53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9060A5" w:rsidRPr="009060A5" w:rsidTr="009060A5">
        <w:trPr>
          <w:trHeight w:val="406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2009-2010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113/28,3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155/25,8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52/26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320/26,7</w:t>
            </w:r>
          </w:p>
        </w:tc>
      </w:tr>
      <w:tr w:rsidR="009060A5" w:rsidRPr="009060A5" w:rsidTr="009060A5">
        <w:trPr>
          <w:trHeight w:val="422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2010-2011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128/25,6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165/27,5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52/26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345/26,5</w:t>
            </w:r>
          </w:p>
        </w:tc>
      </w:tr>
      <w:tr w:rsidR="009060A5" w:rsidRPr="009060A5" w:rsidTr="009060A5">
        <w:trPr>
          <w:trHeight w:val="550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157/26,2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164/27,3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51/25,5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372/26,6</w:t>
            </w:r>
          </w:p>
        </w:tc>
      </w:tr>
      <w:tr w:rsidR="009060A5" w:rsidRPr="009060A5" w:rsidTr="009060A5">
        <w:trPr>
          <w:trHeight w:val="546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177/25,3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170/28,3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53/26,5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400/26,7</w:t>
            </w:r>
          </w:p>
        </w:tc>
      </w:tr>
      <w:tr w:rsidR="009060A5" w:rsidRPr="009060A5" w:rsidTr="009060A5">
        <w:trPr>
          <w:trHeight w:val="42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199/24,9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157/31,4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57/28,5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0A5" w:rsidRPr="009060A5" w:rsidRDefault="009060A5" w:rsidP="009060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413/27,53</w:t>
            </w:r>
          </w:p>
        </w:tc>
      </w:tr>
    </w:tbl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7645" cy="3157855"/>
            <wp:effectExtent l="0" t="0" r="190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0A5" w:rsidRPr="009060A5" w:rsidRDefault="009060A5" w:rsidP="009060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7645" cy="387159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87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приведенной таблицы и диаграмм видно, что контингент учащихся школы имеет тенденцию к постоянному росту, при этом в 2013-2014 учебном году произошел рост средней наполняемости классов.</w:t>
      </w:r>
    </w:p>
    <w:p w:rsidR="009060A5" w:rsidRPr="009060A5" w:rsidRDefault="009060A5" w:rsidP="00906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Качественный состав  педагогического коллектива школы.</w:t>
      </w: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 в  школе работало 28 учителей, из них 5 – внутренние совместители, 1 –внешний совместитель.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12791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452"/>
        <w:gridCol w:w="6646"/>
        <w:gridCol w:w="2924"/>
        <w:gridCol w:w="2769"/>
      </w:tblGrid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(абсолютные)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2013-2014 учебный  год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учителей (основные работники)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(41%)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высшей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(19%)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высшим образованием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(93%)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 высшим педагогическим образованием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(85%)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без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(30%)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3(11%)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работающих  пенсионеров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молодых специалистов (всего)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из них: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1-ый год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2-ой  год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работают 3-ий  год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кандидатов наук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докторов наук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педагогических ВУЗах</w:t>
            </w:r>
            <w:proofErr w:type="gram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аспирантуре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25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60A5" w:rsidRPr="009060A5" w:rsidTr="009060A5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060A5" w:rsidRPr="009060A5" w:rsidTr="009060A5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педагогических работников, имеющих ведомственные государственные награды («Отличник народного образования», «Почетный работник общего образования»,  «Почетный работник среднего профессионального образования», «Заслуженный учитель Московской области», «Заслуженный учитель РФ»)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769" w:type="dxa"/>
            <w:vAlign w:val="center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60A5" w:rsidRDefault="009060A5" w:rsidP="009060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Default="009060A5" w:rsidP="009060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Default="009060A5" w:rsidP="009060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Default="009060A5" w:rsidP="009060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Default="009060A5" w:rsidP="009060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Сравнительный анализ качественного состава педагогического коллектива за четыре последних года.</w:t>
      </w:r>
    </w:p>
    <w:p w:rsidR="009060A5" w:rsidRPr="009060A5" w:rsidRDefault="009060A5" w:rsidP="009060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87"/>
        <w:gridCol w:w="1617"/>
        <w:gridCol w:w="1617"/>
        <w:gridCol w:w="1617"/>
        <w:gridCol w:w="1617"/>
      </w:tblGrid>
      <w:tr w:rsidR="009060A5" w:rsidRPr="009060A5" w:rsidTr="009060A5">
        <w:tc>
          <w:tcPr>
            <w:tcW w:w="1516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8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учителей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без категории, 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имеющих 2 категорию, 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имеющих 1 категорию, 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учителей, имеющих высшую категорию, %</w:t>
            </w:r>
          </w:p>
        </w:tc>
      </w:tr>
      <w:tr w:rsidR="009060A5" w:rsidRPr="009060A5" w:rsidTr="009060A5">
        <w:tc>
          <w:tcPr>
            <w:tcW w:w="1516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2010-2011 </w:t>
            </w:r>
            <w:proofErr w:type="spell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8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9060A5" w:rsidRPr="009060A5" w:rsidTr="009060A5">
        <w:tc>
          <w:tcPr>
            <w:tcW w:w="1516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8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9060A5" w:rsidRPr="009060A5" w:rsidTr="009060A5">
        <w:tc>
          <w:tcPr>
            <w:tcW w:w="1516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8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</w:tr>
      <w:tr w:rsidR="009060A5" w:rsidRPr="009060A5" w:rsidTr="009060A5">
        <w:tc>
          <w:tcPr>
            <w:tcW w:w="1516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8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617" w:type="dxa"/>
          </w:tcPr>
          <w:p w:rsidR="009060A5" w:rsidRPr="009060A5" w:rsidRDefault="009060A5" w:rsidP="0090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</w:tbl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приведенных данных видно, что в 2013-2014 учебном году произошел значительный рост количества 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имеющих квалификационной категории. Это объясняется тем, что у многих учителей пенсионного возраста закончился срок действия второй или первой квалификационной 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не пожелали проходить добровольную аттестацию на первую или высшую квалификационную категории.  Однако администрация школы проводит целенаправленную работу по подготовке аттестации педагогических работников.  В 2013-2014 учебном году прошли аттестацию  4 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работника. Они аттестовались на категории более высокие, чем имели ранее. Учителя Орлова О.Е., Гордон О.А., аттестовались на высшую квалификационную категорию. Учителя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Леденева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Егупова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аттестовались на первую квалификационную категорию. План работы по аттестации педагогических кадров на 2013-2014 учебный год можно считать выполненным. В целом, за три последних года 11 (41%) педагогических работников школы прошли аттестацию в новой форме. </w:t>
      </w: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педагогических кадров.</w:t>
      </w: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2013-2014 учебном году курсы повышения квалификации прошли 9 (33%) педагогических работников ( в 2010-2011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9%, в 2011-2012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39%, в 2012-2013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44%). Все учителя, работающие на ступени начального общего образования, прошли курсы повышения квалификации в соответствии с новым ФГОС. В 2013-2014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 вела целенаправленную работу по подготовке учителей школы  к внедрению ФГОС на ступени основного общего образования. Так в 2013-2014 учебном году 6 учителей прошли курсы на темы актуальных вопросов внедрения ФГОС по предметам: математика, технология, искусство, английский язык.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Гузиков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прошел курсы на тему «Проектирование основной образовательной программы основного общего образования»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0A5" w:rsidRPr="009060A5" w:rsidRDefault="009060A5" w:rsidP="00906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приведенных данных видно, что план работы по повышению квалификации педагогических кадров на 2013-2014 учебный год можно считать выполненным, в среднем удается сохранить динамику повышения квалификации педагогических кадров.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0A5" w:rsidRPr="009060A5" w:rsidRDefault="009060A5" w:rsidP="0090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 в 2013-2014 учебном году.</w:t>
      </w:r>
    </w:p>
    <w:p w:rsidR="009060A5" w:rsidRPr="009060A5" w:rsidRDefault="009060A5" w:rsidP="0090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Default="009060A5" w:rsidP="009060A5">
      <w:pPr>
        <w:shd w:val="clear" w:color="auto" w:fill="FFFFFF"/>
        <w:spacing w:after="0" w:line="317" w:lineRule="exact"/>
        <w:ind w:left="14" w:right="106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обучения в 2013-2014 учебном году: успеваемость – 100%, на «4» и «5» учебный год закончили 154 человека (42,2% учащихся), из них отличники - 25 человек (6%). </w:t>
      </w:r>
      <w:r w:rsidRPr="009060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одной «4» окончили учебный год 6 человек, с одной «3» - 17 человек.</w:t>
      </w:r>
    </w:p>
    <w:p w:rsidR="009060A5" w:rsidRDefault="009060A5" w:rsidP="009060A5">
      <w:pPr>
        <w:shd w:val="clear" w:color="auto" w:fill="FFFFFF"/>
        <w:spacing w:after="0" w:line="317" w:lineRule="exact"/>
        <w:ind w:left="14" w:right="106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060A5" w:rsidRDefault="009060A5" w:rsidP="009060A5">
      <w:pPr>
        <w:shd w:val="clear" w:color="auto" w:fill="FFFFFF"/>
        <w:spacing w:after="0" w:line="317" w:lineRule="exact"/>
        <w:ind w:left="14" w:right="106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060A5" w:rsidRDefault="009060A5" w:rsidP="009060A5">
      <w:pPr>
        <w:shd w:val="clear" w:color="auto" w:fill="FFFFFF"/>
        <w:spacing w:after="0" w:line="317" w:lineRule="exact"/>
        <w:ind w:left="14" w:right="106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060A5" w:rsidRPr="009060A5" w:rsidRDefault="009060A5" w:rsidP="009060A5">
      <w:pPr>
        <w:shd w:val="clear" w:color="auto" w:fill="FFFFFF"/>
        <w:spacing w:after="0" w:line="317" w:lineRule="exact"/>
        <w:ind w:left="14" w:right="106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Сравнительные результаты обучения за последние 5 лет.</w:t>
      </w:r>
      <w:proofErr w:type="gramEnd"/>
    </w:p>
    <w:tbl>
      <w:tblPr>
        <w:tblpPr w:leftFromText="180" w:rightFromText="180" w:vertAnchor="text" w:horzAnchor="margin" w:tblpXSpec="center" w:tblpY="398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895"/>
        <w:gridCol w:w="895"/>
        <w:gridCol w:w="716"/>
        <w:gridCol w:w="716"/>
        <w:gridCol w:w="716"/>
        <w:gridCol w:w="716"/>
        <w:gridCol w:w="716"/>
        <w:gridCol w:w="716"/>
        <w:gridCol w:w="716"/>
        <w:gridCol w:w="537"/>
        <w:gridCol w:w="716"/>
        <w:gridCol w:w="716"/>
        <w:gridCol w:w="656"/>
      </w:tblGrid>
      <w:tr w:rsidR="009060A5" w:rsidRPr="009060A5" w:rsidTr="009060A5">
        <w:trPr>
          <w:cantSplit/>
          <w:trHeight w:val="765"/>
        </w:trPr>
        <w:tc>
          <w:tcPr>
            <w:tcW w:w="1002" w:type="dxa"/>
            <w:vMerge w:val="restart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Учеб-</w:t>
            </w:r>
            <w:proofErr w:type="spell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5" w:type="dxa"/>
            <w:vMerge w:val="restart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учащих-</w:t>
            </w:r>
            <w:proofErr w:type="spell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2327" w:type="dxa"/>
            <w:gridSpan w:val="3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left="-108" w:right="-10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второгодников</w:t>
            </w: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</w:t>
            </w: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0A5" w:rsidRPr="009060A5" w:rsidTr="009060A5">
        <w:trPr>
          <w:cantSplit/>
          <w:trHeight w:val="595"/>
        </w:trPr>
        <w:tc>
          <w:tcPr>
            <w:tcW w:w="1002" w:type="dxa"/>
            <w:vMerge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1-4кл.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5-9кл.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10-11кл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1-4 </w:t>
            </w:r>
            <w:proofErr w:type="spellStart"/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5-9кл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10-11кл.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1-4 </w:t>
            </w:r>
            <w:proofErr w:type="spellStart"/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</w:t>
            </w:r>
            <w:proofErr w:type="spellEnd"/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left="-228" w:right="-104" w:firstLine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5-9кл.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10-11кл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1-4кл.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5-9кл.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10-11кл.</w:t>
            </w:r>
          </w:p>
        </w:tc>
      </w:tr>
      <w:tr w:rsidR="009060A5" w:rsidRPr="009060A5" w:rsidTr="009060A5">
        <w:trPr>
          <w:trHeight w:val="278"/>
        </w:trPr>
        <w:tc>
          <w:tcPr>
            <w:tcW w:w="1002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0A5" w:rsidRPr="009060A5" w:rsidTr="009060A5">
        <w:trPr>
          <w:trHeight w:val="278"/>
        </w:trPr>
        <w:tc>
          <w:tcPr>
            <w:tcW w:w="1002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0A5" w:rsidRPr="009060A5" w:rsidTr="009060A5">
        <w:trPr>
          <w:trHeight w:val="278"/>
        </w:trPr>
        <w:tc>
          <w:tcPr>
            <w:tcW w:w="1002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60A5" w:rsidRPr="009060A5" w:rsidTr="009060A5">
        <w:trPr>
          <w:trHeight w:val="278"/>
        </w:trPr>
        <w:tc>
          <w:tcPr>
            <w:tcW w:w="1002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60A5" w:rsidRPr="009060A5" w:rsidTr="009060A5">
        <w:trPr>
          <w:trHeight w:val="278"/>
        </w:trPr>
        <w:tc>
          <w:tcPr>
            <w:tcW w:w="1002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95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29,3%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vAlign w:val="center"/>
          </w:tcPr>
          <w:p w:rsidR="009060A5" w:rsidRPr="009060A5" w:rsidRDefault="009060A5" w:rsidP="009060A5">
            <w:pPr>
              <w:tabs>
                <w:tab w:val="left" w:pos="180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60A5" w:rsidRPr="009060A5" w:rsidRDefault="009060A5" w:rsidP="009060A5">
      <w:pPr>
        <w:tabs>
          <w:tab w:val="left" w:pos="1800"/>
        </w:tabs>
        <w:spacing w:after="0" w:line="240" w:lineRule="auto"/>
        <w:ind w:left="7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качества знаний по ступеням обучения</w:t>
      </w:r>
    </w:p>
    <w:p w:rsidR="009060A5" w:rsidRPr="009060A5" w:rsidRDefault="009060A5" w:rsidP="0090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приведенных данных видно, что уровень успеваемости и качества знаний остается, в основном, стабильным в течение 5 последних лет. Наблюдается некоторый рост качества знаний в начальной школе, основной и старшей школе. В будущем учебном году необходимо предусмотреть работу, направленную на более четкое взаимодействие классных руководителей с учителями предметниками в целях сокращения количества учащихся имеющих одну «3» и одну «4». </w:t>
      </w:r>
    </w:p>
    <w:p w:rsidR="009060A5" w:rsidRDefault="009060A5" w:rsidP="009060A5">
      <w:pPr>
        <w:jc w:val="both"/>
      </w:pPr>
    </w:p>
    <w:p w:rsidR="009060A5" w:rsidRDefault="009060A5" w:rsidP="009060A5">
      <w:pPr>
        <w:jc w:val="both"/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Дистанционное обучение детей-инвалидов.</w:t>
      </w: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060A5">
        <w:rPr>
          <w:rFonts w:ascii="Times New Roman" w:eastAsia="Calibri" w:hAnsi="Times New Roman" w:cs="Times New Roman"/>
          <w:sz w:val="28"/>
          <w:szCs w:val="28"/>
        </w:rPr>
        <w:t>В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201</w:t>
      </w:r>
      <w:r w:rsidRPr="009060A5">
        <w:rPr>
          <w:rFonts w:ascii="Times New Roman" w:eastAsia="Calibri" w:hAnsi="Times New Roman" w:cs="Times New Roman"/>
          <w:sz w:val="28"/>
          <w:szCs w:val="28"/>
        </w:rPr>
        <w:t>3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-201</w:t>
      </w:r>
      <w:r w:rsidRPr="009060A5">
        <w:rPr>
          <w:rFonts w:ascii="Times New Roman" w:eastAsia="Calibri" w:hAnsi="Times New Roman" w:cs="Times New Roman"/>
          <w:sz w:val="28"/>
          <w:szCs w:val="28"/>
        </w:rPr>
        <w:t>4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уч. гг.  в школе  </w:t>
      </w:r>
      <w:r w:rsidRPr="009060A5">
        <w:rPr>
          <w:rFonts w:ascii="Times New Roman" w:eastAsia="Calibri" w:hAnsi="Times New Roman" w:cs="Times New Roman"/>
          <w:sz w:val="28"/>
          <w:szCs w:val="28"/>
        </w:rPr>
        <w:t>продолжалась реализация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обучения детей-инвалидов с  применением дистанционных технологий.  </w:t>
      </w:r>
    </w:p>
    <w:p w:rsidR="009060A5" w:rsidRPr="009060A5" w:rsidRDefault="009060A5" w:rsidP="00906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В  201</w:t>
      </w:r>
      <w:r w:rsidRPr="009060A5">
        <w:rPr>
          <w:rFonts w:ascii="Times New Roman" w:eastAsia="Calibri" w:hAnsi="Times New Roman" w:cs="Times New Roman"/>
          <w:sz w:val="28"/>
          <w:szCs w:val="28"/>
        </w:rPr>
        <w:t>3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-201</w:t>
      </w:r>
      <w:r w:rsidRPr="009060A5">
        <w:rPr>
          <w:rFonts w:ascii="Times New Roman" w:eastAsia="Calibri" w:hAnsi="Times New Roman" w:cs="Times New Roman"/>
          <w:sz w:val="28"/>
          <w:szCs w:val="28"/>
        </w:rPr>
        <w:t>4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уч.  гг.  в  данном  проекте  принял участие учащийся </w:t>
      </w:r>
      <w:r w:rsidRPr="009060A5">
        <w:rPr>
          <w:rFonts w:ascii="Times New Roman" w:eastAsia="Calibri" w:hAnsi="Times New Roman" w:cs="Times New Roman"/>
          <w:sz w:val="28"/>
          <w:szCs w:val="28"/>
        </w:rPr>
        <w:t>4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А класса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Чушаев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Дмитрий.</w:t>
      </w:r>
    </w:p>
    <w:p w:rsidR="009060A5" w:rsidRPr="009060A5" w:rsidRDefault="009060A5" w:rsidP="00906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Введению новой формы обучения предшествовала подготовительная работа: учитель начальных классов Коскова И.Г. прошла курсы повышения квалификации по теме «Организация дистанционного образования детей-инвалидов» (144 ч.), администрация школы приняла участие в работе семинаров по организации дистанционного обучения детей-инвалидов в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г.Видное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в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г.Чехов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Прошли обучение по работе с оборудованием родители учащегося </w:t>
      </w:r>
      <w:r w:rsidRPr="009060A5">
        <w:rPr>
          <w:rFonts w:ascii="Times New Roman" w:eastAsia="Calibri" w:hAnsi="Times New Roman" w:cs="Times New Roman"/>
          <w:sz w:val="28"/>
          <w:szCs w:val="28"/>
        </w:rPr>
        <w:t>4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А класса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Чушаева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Д. </w:t>
      </w:r>
    </w:p>
    <w:p w:rsidR="009060A5" w:rsidRPr="009060A5" w:rsidRDefault="009060A5" w:rsidP="00906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Было поставлено и введено в эксплуатацию оборудование, используемое для дистанционного обучения. Поставка оборудования отражена актами приема-передачи оборудования, актами выполненных работ, заключением трехстороннего договора. Произведено подключение высокоскоростного канала  Интернет, с провайдером заключен договор.</w:t>
      </w:r>
    </w:p>
    <w:p w:rsidR="009060A5" w:rsidRPr="009060A5" w:rsidRDefault="009060A5" w:rsidP="00906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Директором  школы  был издан приказ</w:t>
      </w:r>
      <w:r w:rsidRPr="009060A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котор</w:t>
      </w:r>
      <w:r w:rsidRPr="009060A5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м было утверждено Положение об организации дистанционного обучения детей-инвалидов в  МОУ «Средняя общеобразовательная школа № 13», назначен куратор дистанционного обучения детей-инвалидов в школе (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Гузиков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И.М.- зам. директора по УВР), утвержден список педагогов, участвующих в дистанционном обучении детей.</w:t>
      </w:r>
    </w:p>
    <w:p w:rsidR="009060A5" w:rsidRPr="009060A5" w:rsidRDefault="009060A5" w:rsidP="00906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Дистанционное обучение в 201</w:t>
      </w:r>
      <w:r w:rsidRPr="009060A5">
        <w:rPr>
          <w:rFonts w:ascii="Times New Roman" w:eastAsia="Calibri" w:hAnsi="Times New Roman" w:cs="Times New Roman"/>
          <w:sz w:val="28"/>
          <w:szCs w:val="28"/>
        </w:rPr>
        <w:t>3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-201</w:t>
      </w:r>
      <w:r w:rsidRPr="009060A5">
        <w:rPr>
          <w:rFonts w:ascii="Times New Roman" w:eastAsia="Calibri" w:hAnsi="Times New Roman" w:cs="Times New Roman"/>
          <w:sz w:val="28"/>
          <w:szCs w:val="28"/>
        </w:rPr>
        <w:t>4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уч.году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велось в таких формах как:</w:t>
      </w:r>
    </w:p>
    <w:p w:rsidR="009060A5" w:rsidRPr="009060A5" w:rsidRDefault="009060A5" w:rsidP="009060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  <w:proofErr w:type="spellStart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Skype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-занятия;</w:t>
      </w:r>
    </w:p>
    <w:p w:rsidR="009060A5" w:rsidRPr="009060A5" w:rsidRDefault="009060A5" w:rsidP="009060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работа с различными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ЦОРами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;</w:t>
      </w:r>
    </w:p>
    <w:p w:rsidR="009060A5" w:rsidRPr="009060A5" w:rsidRDefault="009060A5" w:rsidP="009060A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очные занятия с педагогами.</w:t>
      </w:r>
    </w:p>
    <w:p w:rsidR="009060A5" w:rsidRPr="009060A5" w:rsidRDefault="009060A5" w:rsidP="009060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Мониторинг  динамики  успешности  в  освоении образовательной  программы за 201</w:t>
      </w:r>
      <w:r w:rsidRPr="009060A5">
        <w:rPr>
          <w:rFonts w:ascii="Times New Roman" w:eastAsia="Calibri" w:hAnsi="Times New Roman" w:cs="Times New Roman"/>
          <w:sz w:val="28"/>
          <w:szCs w:val="28"/>
        </w:rPr>
        <w:t>3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>-201</w:t>
      </w:r>
      <w:r w:rsidRPr="009060A5">
        <w:rPr>
          <w:rFonts w:ascii="Times New Roman" w:eastAsia="Calibri" w:hAnsi="Times New Roman" w:cs="Times New Roman"/>
          <w:sz w:val="28"/>
          <w:szCs w:val="28"/>
        </w:rPr>
        <w:t>4</w:t>
      </w:r>
      <w:r w:rsidRPr="009060A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уч. года  показал  стабильность качества обучения  с момента использования дистанционных технологий в образовательном процессе.</w:t>
      </w:r>
    </w:p>
    <w:p w:rsidR="009060A5" w:rsidRPr="009060A5" w:rsidRDefault="009060A5" w:rsidP="00906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государственной итоговой аттестации</w:t>
      </w: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2013-2014 </w:t>
      </w:r>
      <w:proofErr w:type="spellStart"/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9-х классах.</w:t>
      </w:r>
    </w:p>
    <w:p w:rsidR="009060A5" w:rsidRPr="009060A5" w:rsidRDefault="009060A5" w:rsidP="0090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государственной итоговой аттестации 9-х классов школа руководствовалась Приказом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25.12.2013 г. № 1394 «Об утверждении Порядка проведения государственной итоговой аттестации по образовательным программам основного общего образования», письмом Федеральной службы по надзору в сфере образования и науки от 13.03.2014 № 02-104 «О методических рекомендациях по подготовке и проведению государственной итоговой аттестации по образовательным программам основного общего образования в форме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государственного экзамена», приказом Министерства </w:t>
      </w: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Московской области от 09.04.2014 № 1705 «Об утверждении Положения о пункте проведения государственной итоговой аттестации по образовательным программам основного общего образования в Московской области», письмом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14.05.2014 № 02-381 «О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экзамена», приказом Структурного подразделения администрации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.Серпухова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«Комитет по образованию»  от 20.05.2014 № 378 «Об организации и проведении государственной итоговой аттестации выпускников 9 классов, освоивших образовательные программы основного общего образования, в форме основного государственного экзамена в 2013/2014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уч.году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приказом Структурного подразделения администрации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ерпухова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«Комитет по образованию» от 27.05.2014 № 398 «Об организации проведении государственной итоговой аттестации выпускников 9 классов, освоивших образовательные программы основного общего образования, в форме государственного выпускного экзамена в 2013/2014 учебном году»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2013-2014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9-ых классах обучалось 28 человек, все были допущены к государственной итоговой аттестации. 27 учащихся приняли участие в ОГЭ, один учащийся (Кондрашкина А.) в соответствии с представленной медицинской справкой и заключением городской ПМПК сдавала ГВЭ.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9 класса сдавали два обязательных экзамена по русскому языку и математике. Один учащийся (Зайцев В.),  в соответствии с представленным заявлением, дополнительно сдавал ОГЭ по  информатике и ИКТ. 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администрация школы и педагогический коллектив вели целенаправленную работу по подготовке учащихся к государственной итоговой аттестации. Был разработан школьный план подготовки, вопросы совершенствования подготовки к государственной итоговой аттестации рассматривались на педагогических советах, на заседаниях школьных методических объединений, индивидуальные планы подготовки учащихся были разработаны учителями русского языка, математики и информатики. Много внимания администрация школы, классный руководитель уделяли работе с родителями. На классных родительских собраниях до родителей доводились основные нормативные документы по организации ОГЭ и ГВЭ, методические и психологические подходы при подготовке учащихся к государственной итоговой аттестации, результаты диагностических контрольных работ учащихся. В школе были размещены информационные стенды по вопросам ГИА, вся необходимая информация также размещалась на сайте школы. В соответствии с утвержденным графиком ежемесячно проводились диагностические и тренировочные контрольные работы по русскому языку и математике в формате ОГЭ, с использованием системы СТАТГРАД. Учащиеся школы </w:t>
      </w: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принимали участие в платном тренировочном экзамене по математике в форме ОГЭ, 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проводившимся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городе.</w:t>
      </w:r>
    </w:p>
    <w:p w:rsidR="009060A5" w:rsidRPr="009060A5" w:rsidRDefault="009060A5" w:rsidP="00906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государственной итоговой аттестации выпускников 9-х классов по русскому языку и математике в форме ОГЭ.</w:t>
      </w:r>
    </w:p>
    <w:p w:rsidR="009060A5" w:rsidRPr="009060A5" w:rsidRDefault="009060A5" w:rsidP="009060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152"/>
        <w:gridCol w:w="840"/>
        <w:gridCol w:w="720"/>
        <w:gridCol w:w="900"/>
        <w:gridCol w:w="1080"/>
        <w:gridCol w:w="1089"/>
        <w:gridCol w:w="1048"/>
        <w:gridCol w:w="889"/>
        <w:gridCol w:w="930"/>
      </w:tblGrid>
      <w:tr w:rsidR="009060A5" w:rsidRPr="009060A5" w:rsidTr="009060A5">
        <w:trPr>
          <w:trHeight w:val="109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ind w:left="-16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 в форме</w:t>
            </w:r>
          </w:p>
          <w:p w:rsidR="009060A5" w:rsidRPr="009060A5" w:rsidRDefault="009060A5" w:rsidP="009060A5">
            <w:pPr>
              <w:spacing w:after="0" w:line="240" w:lineRule="auto"/>
              <w:ind w:left="-16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экзаменационную отметку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экзаменационную отметку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60A5" w:rsidRPr="009060A5" w:rsidTr="009060A5">
        <w:trPr>
          <w:trHeight w:val="165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равную годовой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годовой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0A5" w:rsidRPr="009060A5" w:rsidTr="009060A5">
        <w:trPr>
          <w:trHeight w:val="63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060A5" w:rsidRPr="009060A5" w:rsidTr="009060A5">
        <w:trPr>
          <w:trHeight w:val="63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процент верных ответов по математике – 43,7%, средний балл -3,7.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процент верных ответов по русскому языку -85.02, средний балл -4,3</w:t>
      </w: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государственной итоговой аттестации выпускников 9-х классов по русскому языку и математике в форме ГВЭ.</w:t>
      </w: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152"/>
        <w:gridCol w:w="840"/>
        <w:gridCol w:w="720"/>
        <w:gridCol w:w="900"/>
        <w:gridCol w:w="1080"/>
        <w:gridCol w:w="1089"/>
        <w:gridCol w:w="1048"/>
        <w:gridCol w:w="889"/>
        <w:gridCol w:w="930"/>
      </w:tblGrid>
      <w:tr w:rsidR="009060A5" w:rsidRPr="009060A5" w:rsidTr="009060A5">
        <w:trPr>
          <w:trHeight w:val="109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ind w:left="-16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 в форме</w:t>
            </w:r>
          </w:p>
          <w:p w:rsidR="009060A5" w:rsidRPr="009060A5" w:rsidRDefault="009060A5" w:rsidP="009060A5">
            <w:pPr>
              <w:spacing w:after="0" w:line="240" w:lineRule="auto"/>
              <w:ind w:left="-16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экзаменационную отметку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экзаменационную отметку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60A5" w:rsidRPr="009060A5" w:rsidTr="009060A5">
        <w:trPr>
          <w:trHeight w:val="165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равную годовой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годовой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0A5" w:rsidRPr="009060A5" w:rsidTr="009060A5">
        <w:trPr>
          <w:trHeight w:val="63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060A5" w:rsidRPr="009060A5" w:rsidTr="009060A5">
        <w:trPr>
          <w:trHeight w:val="63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060A5" w:rsidRPr="009060A5" w:rsidRDefault="009060A5" w:rsidP="009060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государственной итоговой аттестации выпускников 9-х классов по информатике и ИКТ в форме ОГЭ.</w:t>
      </w:r>
    </w:p>
    <w:p w:rsidR="009060A5" w:rsidRPr="009060A5" w:rsidRDefault="009060A5" w:rsidP="009060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152"/>
        <w:gridCol w:w="840"/>
        <w:gridCol w:w="720"/>
        <w:gridCol w:w="900"/>
        <w:gridCol w:w="1080"/>
        <w:gridCol w:w="1089"/>
        <w:gridCol w:w="1048"/>
        <w:gridCol w:w="889"/>
        <w:gridCol w:w="930"/>
      </w:tblGrid>
      <w:tr w:rsidR="009060A5" w:rsidRPr="009060A5" w:rsidTr="009060A5">
        <w:trPr>
          <w:trHeight w:val="109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ind w:left="-16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 в форме</w:t>
            </w:r>
          </w:p>
          <w:p w:rsidR="009060A5" w:rsidRPr="009060A5" w:rsidRDefault="009060A5" w:rsidP="009060A5">
            <w:pPr>
              <w:spacing w:after="0" w:line="240" w:lineRule="auto"/>
              <w:ind w:left="-161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экзаменационную отметку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получивших экзаменационную отметку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gramEnd"/>
          </w:p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60A5" w:rsidRPr="009060A5" w:rsidTr="009060A5">
        <w:trPr>
          <w:trHeight w:val="165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равную годовой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годовой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0A5" w:rsidRPr="009060A5" w:rsidTr="009060A5">
        <w:trPr>
          <w:trHeight w:val="63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100%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Сравнительный анализ итоговой аттестации в 9 классе</w:t>
      </w:r>
    </w:p>
    <w:p w:rsidR="009060A5" w:rsidRPr="009060A5" w:rsidRDefault="009060A5" w:rsidP="009060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последние три  учебных года.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1"/>
        <w:gridCol w:w="1951"/>
        <w:gridCol w:w="1951"/>
      </w:tblGrid>
      <w:tr w:rsidR="009060A5" w:rsidRPr="009060A5" w:rsidTr="009060A5"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  <w:proofErr w:type="gramEnd"/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Успев.</w:t>
            </w:r>
          </w:p>
        </w:tc>
      </w:tr>
      <w:tr w:rsidR="009060A5" w:rsidRPr="009060A5" w:rsidTr="009060A5"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 г.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060A5" w:rsidRPr="009060A5" w:rsidTr="009060A5"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 г.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060A5" w:rsidRPr="009060A5" w:rsidTr="009060A5"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 г.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060A5" w:rsidRPr="009060A5" w:rsidTr="009060A5"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 г.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060A5" w:rsidRPr="009060A5" w:rsidTr="009060A5"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 г.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92.5%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060A5" w:rsidRPr="009060A5" w:rsidTr="009060A5"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 г.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1951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9060A5" w:rsidRPr="009060A5" w:rsidRDefault="009060A5" w:rsidP="009060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Динамика качества знаний по результатам ОГЭ по математике.</w:t>
      </w: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Динамика качества знаний по результатам ОГЭ по русскому языку.</w:t>
      </w: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4700" cy="2755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таблиц видно, что качество знаний по  русскому языку в 2013-2014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несколько ниже прошлого года. Большинство учащихся подтвердили свои годовые оценки. Большое количество учащихся получивших экзаменационную отметку выше годовой по русскому языку объясняется тем, что 100% учащихся выполнили задания части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связанное  с написанием сочинения и хорошо выполнили тестовую часть заданий.</w:t>
      </w: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государственной итоговой аттестации </w:t>
      </w: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2013-2014 уч. г. в 11 классе.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государственной итоговой аттестации 11-х классов школа руководствовалась  приказом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директором школы был утвержден план подготовки учащихся к ЕГЭ. На ШМО учителями были проанализированы результаты ЕГЭ прошлого года, учителями, классным руководителем были составлены планы подготовки к ЕГЭ учащихся. Были оформлены информационные стенды, необходимые информационные материалы были размещены на сайте школы. Учащиеся  своевременно были ознакомлены с нормативными документами.  В течение учебного года проводились родительские собрания, на которых родители знакомились как с нормативным документами проведения ЕГЭ, так и с ходом подготовки учащихся к ЕГЭ. Для учащихся регулярно проводились диагностические и тренировочные работы в формате ЕГЭ по разным предметам. Были выявлены учащиеся «группы риска». С родителями этих учащихся проводились консультации по подготовке учащихся к ЕГЭ, для учащихся были организованы консультации по предметам для подготовки к экзаменам. Все учащиеся были знакомы с содержанием ЕГЭ по предметам.  В ноябре 2013 года проводился классно-обобщающий контроль в 11 классе. Посещенные уроки показали, что учителя на уроках проводят подготовку к ЕГЭ, ими составлен график и программа проведения консультаций подготовки к ЕГЭ.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2013-2014 уч. г. в 11 классе обучалось 27 чел. К итоговой аттестации были допущены все учащиеся класса. 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ЕГЭ по русскому языку и математике представлены в следующих таблицах: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80"/>
        <w:gridCol w:w="1750"/>
        <w:gridCol w:w="2057"/>
        <w:gridCol w:w="1974"/>
        <w:gridCol w:w="1260"/>
      </w:tblGrid>
      <w:tr w:rsidR="009060A5" w:rsidRPr="009060A5" w:rsidTr="009060A5">
        <w:trPr>
          <w:trHeight w:val="647"/>
        </w:trPr>
        <w:tc>
          <w:tcPr>
            <w:tcW w:w="1980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38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175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Проходной балл</w:t>
            </w:r>
          </w:p>
        </w:tc>
        <w:tc>
          <w:tcPr>
            <w:tcW w:w="2057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1974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балл</w:t>
            </w:r>
          </w:p>
        </w:tc>
        <w:tc>
          <w:tcPr>
            <w:tcW w:w="126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9060A5" w:rsidRPr="009060A5" w:rsidTr="009060A5">
        <w:trPr>
          <w:trHeight w:val="146"/>
        </w:trPr>
        <w:tc>
          <w:tcPr>
            <w:tcW w:w="1980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8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5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7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74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6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060A5" w:rsidRPr="009060A5" w:rsidTr="009060A5">
        <w:trPr>
          <w:trHeight w:val="323"/>
        </w:trPr>
        <w:tc>
          <w:tcPr>
            <w:tcW w:w="198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8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5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7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74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приведенной таблицы видно, что в 2013-2014 учебном году все учащиеся получили баллы по русскому языку и математике выше минимального количества баллов установленных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Сравнительный анализ результатов ЕГЭ по русскому языку и математике за последние три учебных года.</w:t>
      </w:r>
    </w:p>
    <w:tbl>
      <w:tblPr>
        <w:tblW w:w="1078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65"/>
        <w:gridCol w:w="992"/>
        <w:gridCol w:w="975"/>
        <w:gridCol w:w="975"/>
        <w:gridCol w:w="999"/>
        <w:gridCol w:w="935"/>
        <w:gridCol w:w="935"/>
        <w:gridCol w:w="934"/>
        <w:gridCol w:w="992"/>
      </w:tblGrid>
      <w:tr w:rsidR="009060A5" w:rsidRPr="009060A5" w:rsidTr="009060A5">
        <w:trPr>
          <w:trHeight w:val="645"/>
        </w:trPr>
        <w:tc>
          <w:tcPr>
            <w:tcW w:w="1980" w:type="dxa"/>
            <w:vMerge w:val="restart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032" w:type="dxa"/>
            <w:gridSpan w:val="3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балл</w:t>
            </w:r>
          </w:p>
        </w:tc>
        <w:tc>
          <w:tcPr>
            <w:tcW w:w="2909" w:type="dxa"/>
            <w:gridSpan w:val="3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балл</w:t>
            </w:r>
          </w:p>
        </w:tc>
        <w:tc>
          <w:tcPr>
            <w:tcW w:w="2861" w:type="dxa"/>
            <w:gridSpan w:val="3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9060A5" w:rsidRPr="009060A5" w:rsidTr="009060A5">
        <w:trPr>
          <w:trHeight w:val="306"/>
        </w:trPr>
        <w:tc>
          <w:tcPr>
            <w:tcW w:w="1980" w:type="dxa"/>
            <w:vMerge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99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97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97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99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93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93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934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99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</w:tr>
      <w:tr w:rsidR="009060A5" w:rsidRPr="009060A5" w:rsidTr="009060A5">
        <w:trPr>
          <w:trHeight w:val="146"/>
        </w:trPr>
        <w:tc>
          <w:tcPr>
            <w:tcW w:w="1980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9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7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7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3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34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9060A5" w:rsidRPr="009060A5" w:rsidTr="009060A5">
        <w:trPr>
          <w:trHeight w:val="323"/>
        </w:trPr>
        <w:tc>
          <w:tcPr>
            <w:tcW w:w="198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7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7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4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9060A5" w:rsidRDefault="009060A5" w:rsidP="009060A5">
      <w:pPr>
        <w:jc w:val="both"/>
        <w:rPr>
          <w:noProof/>
          <w:sz w:val="28"/>
          <w:szCs w:val="28"/>
          <w:lang w:eastAsia="ru-RU"/>
        </w:rPr>
      </w:pPr>
    </w:p>
    <w:p w:rsidR="009060A5" w:rsidRDefault="009060A5" w:rsidP="009060A5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D345331" wp14:editId="0B685F77">
            <wp:extent cx="4584700" cy="27559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 по выбору учащихся и сравнение с результатами ЕГЭ за  2012-2013 учебный год представлены в следующей таблице: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748"/>
        <w:gridCol w:w="719"/>
        <w:gridCol w:w="765"/>
        <w:gridCol w:w="745"/>
        <w:gridCol w:w="945"/>
        <w:gridCol w:w="898"/>
        <w:gridCol w:w="930"/>
        <w:gridCol w:w="810"/>
        <w:gridCol w:w="742"/>
        <w:gridCol w:w="739"/>
      </w:tblGrid>
      <w:tr w:rsidR="009060A5" w:rsidRPr="009060A5" w:rsidTr="009060A5">
        <w:trPr>
          <w:trHeight w:val="570"/>
        </w:trPr>
        <w:tc>
          <w:tcPr>
            <w:tcW w:w="1957" w:type="dxa"/>
            <w:vMerge w:val="restart"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Предмет</w:t>
            </w:r>
          </w:p>
        </w:tc>
        <w:tc>
          <w:tcPr>
            <w:tcW w:w="1467" w:type="dxa"/>
            <w:gridSpan w:val="2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510" w:type="dxa"/>
            <w:gridSpan w:val="2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Проходной балл</w:t>
            </w:r>
          </w:p>
        </w:tc>
        <w:tc>
          <w:tcPr>
            <w:tcW w:w="1843" w:type="dxa"/>
            <w:gridSpan w:val="2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40" w:type="dxa"/>
            <w:gridSpan w:val="2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балл</w:t>
            </w:r>
          </w:p>
        </w:tc>
        <w:tc>
          <w:tcPr>
            <w:tcW w:w="1481" w:type="dxa"/>
            <w:gridSpan w:val="2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060A5" w:rsidRPr="009060A5" w:rsidTr="009060A5">
        <w:trPr>
          <w:trHeight w:val="243"/>
        </w:trPr>
        <w:tc>
          <w:tcPr>
            <w:tcW w:w="1957" w:type="dxa"/>
            <w:vMerge/>
            <w:vAlign w:val="bottom"/>
          </w:tcPr>
          <w:p w:rsidR="009060A5" w:rsidRPr="009060A5" w:rsidRDefault="009060A5" w:rsidP="0090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71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7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9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3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4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3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9060A5" w:rsidRPr="009060A5" w:rsidTr="009060A5">
        <w:trPr>
          <w:trHeight w:val="405"/>
        </w:trPr>
        <w:tc>
          <w:tcPr>
            <w:tcW w:w="1957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4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060A5" w:rsidRPr="009060A5" w:rsidTr="009060A5">
        <w:trPr>
          <w:trHeight w:val="405"/>
        </w:trPr>
        <w:tc>
          <w:tcPr>
            <w:tcW w:w="1957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4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060A5" w:rsidRPr="009060A5" w:rsidTr="009060A5">
        <w:trPr>
          <w:trHeight w:val="405"/>
        </w:trPr>
        <w:tc>
          <w:tcPr>
            <w:tcW w:w="1957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060A5" w:rsidRPr="009060A5" w:rsidTr="009060A5">
        <w:trPr>
          <w:trHeight w:val="405"/>
        </w:trPr>
        <w:tc>
          <w:tcPr>
            <w:tcW w:w="1957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4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060A5" w:rsidRPr="009060A5" w:rsidTr="009060A5">
        <w:trPr>
          <w:trHeight w:val="405"/>
        </w:trPr>
        <w:tc>
          <w:tcPr>
            <w:tcW w:w="1957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4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73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060A5" w:rsidRPr="009060A5" w:rsidTr="009060A5">
        <w:trPr>
          <w:trHeight w:val="405"/>
        </w:trPr>
        <w:tc>
          <w:tcPr>
            <w:tcW w:w="1957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4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60A5" w:rsidRPr="009060A5" w:rsidTr="009060A5">
        <w:trPr>
          <w:trHeight w:val="405"/>
        </w:trPr>
        <w:tc>
          <w:tcPr>
            <w:tcW w:w="1957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4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0A5" w:rsidRPr="009060A5" w:rsidTr="009060A5">
        <w:trPr>
          <w:trHeight w:val="405"/>
        </w:trPr>
        <w:tc>
          <w:tcPr>
            <w:tcW w:w="1957" w:type="dxa"/>
            <w:vAlign w:val="bottom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4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5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8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2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</w:tcPr>
          <w:p w:rsidR="009060A5" w:rsidRPr="009060A5" w:rsidRDefault="009060A5" w:rsidP="0090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9060A5" w:rsidRDefault="009060A5" w:rsidP="009060A5">
      <w:pPr>
        <w:jc w:val="both"/>
      </w:pPr>
    </w:p>
    <w:p w:rsidR="009060A5" w:rsidRDefault="009060A5" w:rsidP="009060A5">
      <w:pPr>
        <w:jc w:val="both"/>
      </w:pPr>
    </w:p>
    <w:p w:rsidR="009060A5" w:rsidRPr="009060A5" w:rsidRDefault="009060A5" w:rsidP="0090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работы с учащимися, мотивированными на учёбу.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развития творческой активности учащихся каждый учитель-предметник работал как со слабоуспевающими учащимися, так и с учащимися, имеющими повышенный уровень учебной мотивации. Ежегодно отслеживается уровень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мотивированных на учёбу, на предметных олимпиадах, интеллектуальном марафоне.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2013-2014 учебном году под руководством учителя русского языка и литературы, кандидата филологических наук Орловой О.Е. в школе продолжило работу научное общество «Поиск», куда вошли учащиеся 6-11 классов (54 учащихся). Основными целями и задачами НОУ являются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наиболее одарённых учащихся в разных областях науки и развитие их творческих способностей;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включение учащихся школы в процесс самообразования.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общества проходят 1 раз в месяц. Результатами работы научного общества учащихся в 2013-2014 можно считать участие в Международной научно-практической конференции учащихся «Молодёжь и инновации» (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ерпухов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Международной научно-практической конференции в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г.Протвино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9060A5" w:rsidRPr="009060A5" w:rsidRDefault="009060A5" w:rsidP="009060A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0A5">
        <w:rPr>
          <w:rFonts w:ascii="Times New Roman" w:eastAsia="Calibri" w:hAnsi="Times New Roman" w:cs="Times New Roman"/>
          <w:sz w:val="24"/>
          <w:szCs w:val="24"/>
        </w:rPr>
        <w:t xml:space="preserve">ВЛИЯНИЕ АНГЛИЙСКОГО ЯЗЫКА НА СОВРЕМЕННЫЙ МОЛОДЕЖНЫЙ СЛЕНГ В РОССИИ </w:t>
      </w:r>
    </w:p>
    <w:p w:rsidR="009060A5" w:rsidRPr="009060A5" w:rsidRDefault="009060A5" w:rsidP="009060A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9060A5">
        <w:rPr>
          <w:rFonts w:ascii="Times New Roman" w:eastAsia="Calibri" w:hAnsi="Times New Roman" w:cs="Times New Roman"/>
          <w:sz w:val="28"/>
          <w:szCs w:val="28"/>
        </w:rPr>
        <w:t xml:space="preserve">Автор: Рожкова Ирина Сергеевна, учащаяся 6 класса МОУ СОШ № 13 </w:t>
      </w:r>
    </w:p>
    <w:p w:rsidR="009060A5" w:rsidRPr="009060A5" w:rsidRDefault="009060A5" w:rsidP="009060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A5">
        <w:rPr>
          <w:rFonts w:ascii="Times New Roman" w:eastAsia="Calibri" w:hAnsi="Times New Roman" w:cs="Times New Roman"/>
          <w:sz w:val="28"/>
          <w:szCs w:val="28"/>
        </w:rPr>
        <w:t>Научный руководитель: Годунова Елена Алексеевна, учитель английского языка МОУ «Средняя общеобразовательная школа № 13», г. Серпухов</w:t>
      </w:r>
    </w:p>
    <w:p w:rsidR="009060A5" w:rsidRPr="009060A5" w:rsidRDefault="009060A5" w:rsidP="009060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0A5" w:rsidRPr="009060A5" w:rsidRDefault="009060A5" w:rsidP="009060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A5">
        <w:rPr>
          <w:rFonts w:ascii="Times New Roman" w:eastAsia="Calibri" w:hAnsi="Times New Roman" w:cs="Times New Roman"/>
          <w:sz w:val="24"/>
          <w:szCs w:val="24"/>
        </w:rPr>
        <w:t>МОТИВ ЖЕРТВЕННОЙ ЛЮБВИ В НОВЕЛЕ С.ЦВЕЙГА «ПИСЬМО НЕЗНАКОМКИ» И ПОВЕСТИ А.И.КУПРИНА «ГРАНАТОВЫЙ БРАСЛЕТ»</w:t>
      </w:r>
    </w:p>
    <w:p w:rsidR="009060A5" w:rsidRPr="009060A5" w:rsidRDefault="009060A5" w:rsidP="009060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A5">
        <w:rPr>
          <w:rFonts w:ascii="Times New Roman" w:eastAsia="Calibri" w:hAnsi="Times New Roman" w:cs="Times New Roman"/>
          <w:sz w:val="28"/>
          <w:szCs w:val="28"/>
        </w:rPr>
        <w:t>Автор: Бутырская Екатерина Константиновна, учащаяся 7 класса МОУ СОШ №13</w:t>
      </w:r>
    </w:p>
    <w:p w:rsidR="009060A5" w:rsidRPr="009060A5" w:rsidRDefault="009060A5" w:rsidP="009060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A5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к.ф.н. Орлова Ольга Евгеньевна, учитель русского языка и литературы МОУ СОШ №13 (Диплом третьей степени в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060A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060A5">
        <w:rPr>
          <w:rFonts w:ascii="Times New Roman" w:eastAsia="Calibri" w:hAnsi="Times New Roman" w:cs="Times New Roman"/>
          <w:sz w:val="28"/>
          <w:szCs w:val="28"/>
        </w:rPr>
        <w:t>ерпухове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</w:rPr>
        <w:t xml:space="preserve"> и Диплом лауреата в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</w:rPr>
        <w:t>г.Протвине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060A5" w:rsidRPr="009060A5" w:rsidRDefault="009060A5" w:rsidP="009060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0A5" w:rsidRPr="009060A5" w:rsidRDefault="009060A5" w:rsidP="009060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0A5">
        <w:rPr>
          <w:rFonts w:ascii="Times New Roman" w:eastAsia="Calibri" w:hAnsi="Times New Roman" w:cs="Times New Roman"/>
          <w:sz w:val="24"/>
          <w:szCs w:val="24"/>
        </w:rPr>
        <w:t>ВЛИЯНИЕ  СВЧ-ИЗЛУЧЕНИЙ НА ЖИВЫЕ ОРГАНИЗМЫ</w:t>
      </w:r>
    </w:p>
    <w:p w:rsidR="009060A5" w:rsidRPr="009060A5" w:rsidRDefault="009060A5" w:rsidP="009060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A5">
        <w:rPr>
          <w:rFonts w:ascii="Times New Roman" w:eastAsia="Calibri" w:hAnsi="Times New Roman" w:cs="Times New Roman"/>
          <w:sz w:val="28"/>
          <w:szCs w:val="28"/>
        </w:rPr>
        <w:t>Автор:   Астахова Светлана Алексеевна, учащаяся 8 класса МОУ СОШ № 13</w:t>
      </w:r>
    </w:p>
    <w:p w:rsidR="009060A5" w:rsidRPr="009060A5" w:rsidRDefault="009060A5" w:rsidP="009060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A5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060A5">
        <w:rPr>
          <w:rFonts w:ascii="Times New Roman" w:eastAsia="Calibri" w:hAnsi="Times New Roman" w:cs="Times New Roman"/>
          <w:sz w:val="28"/>
          <w:szCs w:val="28"/>
        </w:rPr>
        <w:t>Леденева</w:t>
      </w:r>
      <w:proofErr w:type="spellEnd"/>
      <w:r w:rsidRPr="009060A5">
        <w:rPr>
          <w:rFonts w:ascii="Times New Roman" w:eastAsia="Calibri" w:hAnsi="Times New Roman" w:cs="Times New Roman"/>
          <w:sz w:val="28"/>
          <w:szCs w:val="28"/>
        </w:rPr>
        <w:t xml:space="preserve"> Ирина Алексеевна, учитель химии и биологии</w:t>
      </w:r>
    </w:p>
    <w:p w:rsidR="009060A5" w:rsidRPr="009060A5" w:rsidRDefault="009060A5" w:rsidP="009060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2014-2015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планируется шире включать в научно-исследовательскую  деятельность способных учащихся и сделать традиционными школьные научные конференции. </w:t>
      </w:r>
    </w:p>
    <w:p w:rsidR="009060A5" w:rsidRPr="009060A5" w:rsidRDefault="009060A5" w:rsidP="009060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работы НОУ является подготовка, организация и проведение школьных турниров и олимпиад. 103  учащихся (25%) приняли участие в школьном туре всероссийской олимпиады школьников. По результатам школьных олимпиад были сформированы </w:t>
      </w: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для участия в городских предметных олимпиадах.  На этом уровне приняли участие 61 (15%)  учащийся школы. Наши учащиеся заняли одно призовое место.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Евтигнеева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8 класс (1 место, физическая культура).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принимали активное участие в различных городских конкурсах, по результатам которых занимали призовые места: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Лапенко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8 класс, 1 место в конкурсе «Учимся изобретать»;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Склярова Мария 10 класс, призер конкурса «Живая связь времен» и конкурса посвященного жизни и деятельности Сергия Радонежского;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Анна 9 класс, призер исторической викторины;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Дарья  6 класс, призер конкурса «Живая связь времен».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команды юношей и девушек школы завоевали призовые места в городских турнирах по баскетболу и волейболу. </w:t>
      </w:r>
    </w:p>
    <w:p w:rsidR="009060A5" w:rsidRPr="009060A5" w:rsidRDefault="009060A5" w:rsidP="009060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учащиеся школы принимали и во всероссийской игре «Русский медвежонок – языкознание для всех» (72 чел.); игре «Кенгуру» (73 чел.); «Британский бульдог» (18 чел.); «ЧИП» (53 чел.). </w:t>
      </w:r>
      <w:proofErr w:type="gramEnd"/>
    </w:p>
    <w:p w:rsidR="009060A5" w:rsidRDefault="009060A5" w:rsidP="009060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результаты работы с учащимися, мотивированными на учебу остаются стабильными по сравнению с 2012-2013 учебным годом.</w:t>
      </w:r>
    </w:p>
    <w:p w:rsidR="009060A5" w:rsidRPr="009060A5" w:rsidRDefault="009060A5" w:rsidP="009060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развития материально-технической базы школы.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школы требует постоянного развития в свете выполнения стандарта для общеобразовательных учебных заведений в Московской области. 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школе функционирует 22 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кабинета. Имеются оборудованные кабинеты физики, информатики и ИКТ, химии, кабинеты начальных классов, технологии, мастерские, спортивный зал и игровой зал для младших школьников, библиотека.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имеется 53 персональных компьютера 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компьютеров на 1 учащегося), из них 28 ноутбуков, в учебном процессе используется 47 персональных компьютеров. В школе имеется 8 мультимедийных проекторов, 5 интерактивных досок. Школа 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3 канала связи Интернет с пропускной способностью от 2 Мбит/сек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 за счет бюджетных источников финансирования удалось произвести капитальный ремонт кровли школы и  произвести замену 18 оконных блоков.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спонсорской помощи произведена замена линолеума в двух кабинетах начальной школы, произведен косметический ремонт рекреаций 1, 2 и 3 этажей школы, оформлены демонстрационные стенды в рекреациях  1 и 2 этажа на темы истории </w:t>
      </w:r>
      <w:proofErr w:type="spell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ерпухова</w:t>
      </w:r>
      <w:proofErr w:type="spell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символики России, получены и установлены спортивные снаряды на школьной спортивной площадке.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источников финансирования для осуществления государственной итоговой аттестации был организован защищенный канал связи и приобретён персональный компьютер для этих целей.</w:t>
      </w:r>
    </w:p>
    <w:p w:rsidR="009060A5" w:rsidRPr="009060A5" w:rsidRDefault="009060A5" w:rsidP="009060A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2014-2015 учебном году необходимо сосредоточить усилия для дальнейшего совершенствования материально-технической базы школы:</w:t>
      </w:r>
    </w:p>
    <w:p w:rsidR="009060A5" w:rsidRPr="009060A5" w:rsidRDefault="009060A5" w:rsidP="009060A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оконных блоков;</w:t>
      </w:r>
    </w:p>
    <w:p w:rsidR="009060A5" w:rsidRPr="009060A5" w:rsidRDefault="009060A5" w:rsidP="009060A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нового оборудования и капитальный ремонт в пищеблоке;</w:t>
      </w:r>
    </w:p>
    <w:p w:rsidR="009060A5" w:rsidRPr="009060A5" w:rsidRDefault="009060A5" w:rsidP="009060A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полов в спортивном зале;</w:t>
      </w:r>
    </w:p>
    <w:p w:rsidR="009060A5" w:rsidRPr="00C4514D" w:rsidRDefault="009060A5" w:rsidP="00C4514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оборудования в кабинетах школы.</w:t>
      </w:r>
    </w:p>
    <w:p w:rsidR="009060A5" w:rsidRPr="00C4514D" w:rsidRDefault="009060A5" w:rsidP="00C4514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C45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результативности работы школы.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нашей школы работает стабильно и результативно. Показателями качества работы школы являются:</w:t>
      </w:r>
    </w:p>
    <w:p w:rsidR="009060A5" w:rsidRPr="009060A5" w:rsidRDefault="009060A5" w:rsidP="009060A5">
      <w:pPr>
        <w:numPr>
          <w:ilvl w:val="0"/>
          <w:numId w:val="4"/>
        </w:numPr>
        <w:tabs>
          <w:tab w:val="left" w:pos="1800"/>
        </w:tabs>
        <w:spacing w:after="0" w:line="240" w:lineRule="auto"/>
        <w:ind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Стабильная в течение ряда лет успеваемость и качество знаний.</w:t>
      </w:r>
    </w:p>
    <w:p w:rsidR="009060A5" w:rsidRPr="009060A5" w:rsidRDefault="009060A5" w:rsidP="009060A5">
      <w:pPr>
        <w:numPr>
          <w:ilvl w:val="0"/>
          <w:numId w:val="4"/>
        </w:numPr>
        <w:tabs>
          <w:tab w:val="left" w:pos="18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числа учащихся – победителей, призеров конкурсов и олимпиад.</w:t>
      </w:r>
    </w:p>
    <w:p w:rsidR="009060A5" w:rsidRPr="009060A5" w:rsidRDefault="009060A5" w:rsidP="009060A5">
      <w:pPr>
        <w:numPr>
          <w:ilvl w:val="0"/>
          <w:numId w:val="4"/>
        </w:numPr>
        <w:tabs>
          <w:tab w:val="left" w:pos="18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отсева из школы  детей в возрасте до 15 лет;</w:t>
      </w:r>
    </w:p>
    <w:p w:rsidR="009060A5" w:rsidRPr="009060A5" w:rsidRDefault="009060A5" w:rsidP="0090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 решал следующие задачи:</w:t>
      </w:r>
    </w:p>
    <w:p w:rsidR="009060A5" w:rsidRPr="009060A5" w:rsidRDefault="009060A5" w:rsidP="009060A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ФГОС нового поколения в первы</w:t>
      </w:r>
      <w:proofErr w:type="gramStart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вторых- третьих классах.</w:t>
      </w:r>
    </w:p>
    <w:p w:rsidR="009060A5" w:rsidRPr="009060A5" w:rsidRDefault="009060A5" w:rsidP="009060A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 согласно ФГОС в начальной школе.</w:t>
      </w:r>
    </w:p>
    <w:p w:rsidR="009060A5" w:rsidRPr="009060A5" w:rsidRDefault="009060A5" w:rsidP="009060A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 проводили целенаправленную работу по подготовке учащихся 9 класса к ОГЭ, учащихся 11 класса - в форме ЕГЭ.</w:t>
      </w:r>
    </w:p>
    <w:p w:rsidR="009060A5" w:rsidRPr="009060A5" w:rsidRDefault="009060A5" w:rsidP="009060A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воспитания, формирование у учащихся нравственности, здорового образа жизни.</w:t>
      </w:r>
    </w:p>
    <w:p w:rsidR="009060A5" w:rsidRPr="009060A5" w:rsidRDefault="009060A5" w:rsidP="009060A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форм, методов и средств обучения, введение в учебный процесс новых технологий.</w:t>
      </w:r>
    </w:p>
    <w:p w:rsidR="009060A5" w:rsidRPr="009060A5" w:rsidRDefault="009060A5" w:rsidP="009060A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психолого-педагогических условий, обеспечивающих развитие всесторонне развитой личности.</w:t>
      </w:r>
    </w:p>
    <w:p w:rsidR="009060A5" w:rsidRPr="009060A5" w:rsidRDefault="009060A5" w:rsidP="009060A5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 на базе школы  ДШИ «Синтез» по направлениям:</w:t>
      </w: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музыкальное;</w:t>
      </w: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художественное;</w:t>
      </w: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цирковое.</w:t>
      </w:r>
    </w:p>
    <w:p w:rsidR="009060A5" w:rsidRPr="009060A5" w:rsidRDefault="009060A5" w:rsidP="00906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Проведение работы с трудными детьми и семьями, усиливая взаимосвязь с семьями, с внешкольными спортивными и культурными учреждениями города.</w:t>
      </w:r>
    </w:p>
    <w:p w:rsidR="009060A5" w:rsidRPr="009060A5" w:rsidRDefault="009060A5" w:rsidP="009060A5">
      <w:pPr>
        <w:tabs>
          <w:tab w:val="left" w:pos="18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слагаемыми, обеспечивающими успешность работы школы, являются:</w:t>
      </w:r>
    </w:p>
    <w:p w:rsidR="009060A5" w:rsidRPr="009060A5" w:rsidRDefault="009060A5" w:rsidP="009060A5">
      <w:pPr>
        <w:numPr>
          <w:ilvl w:val="0"/>
          <w:numId w:val="5"/>
        </w:numPr>
        <w:tabs>
          <w:tab w:val="left" w:pos="18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анализу и планированию деятельности школы;</w:t>
      </w:r>
    </w:p>
    <w:p w:rsidR="009060A5" w:rsidRPr="009060A5" w:rsidRDefault="009060A5" w:rsidP="009060A5">
      <w:pPr>
        <w:numPr>
          <w:ilvl w:val="0"/>
          <w:numId w:val="5"/>
        </w:numPr>
        <w:tabs>
          <w:tab w:val="left" w:pos="18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проведенных педагогических советов.</w:t>
      </w:r>
    </w:p>
    <w:p w:rsidR="009060A5" w:rsidRPr="009060A5" w:rsidRDefault="009060A5" w:rsidP="009060A5">
      <w:pPr>
        <w:numPr>
          <w:ilvl w:val="0"/>
          <w:numId w:val="5"/>
        </w:numPr>
        <w:tabs>
          <w:tab w:val="left" w:pos="18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учителей.</w:t>
      </w:r>
      <w:r w:rsidRPr="009060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9060A5" w:rsidRPr="009060A5" w:rsidRDefault="009060A5" w:rsidP="009060A5">
      <w:pPr>
        <w:numPr>
          <w:ilvl w:val="0"/>
          <w:numId w:val="5"/>
        </w:numPr>
        <w:tabs>
          <w:tab w:val="left" w:pos="18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аттестация учителей.</w:t>
      </w:r>
    </w:p>
    <w:p w:rsidR="009060A5" w:rsidRPr="009060A5" w:rsidRDefault="009060A5" w:rsidP="009060A5">
      <w:pPr>
        <w:tabs>
          <w:tab w:val="left" w:pos="1800"/>
        </w:tabs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план работы школы в соответствии с поставленными на 2013 – 2014 учебный год задачами выполнен. </w:t>
      </w:r>
    </w:p>
    <w:p w:rsidR="009060A5" w:rsidRDefault="009060A5" w:rsidP="009060A5">
      <w:pPr>
        <w:jc w:val="both"/>
      </w:pPr>
    </w:p>
    <w:sectPr w:rsidR="0090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8D0"/>
    <w:multiLevelType w:val="hybridMultilevel"/>
    <w:tmpl w:val="45A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0347"/>
    <w:multiLevelType w:val="hybridMultilevel"/>
    <w:tmpl w:val="14DC8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5273E"/>
    <w:multiLevelType w:val="hybridMultilevel"/>
    <w:tmpl w:val="7FDA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222B4"/>
    <w:multiLevelType w:val="hybridMultilevel"/>
    <w:tmpl w:val="8F62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21698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C5F4F"/>
    <w:multiLevelType w:val="hybridMultilevel"/>
    <w:tmpl w:val="87207898"/>
    <w:lvl w:ilvl="0" w:tplc="7D7220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08E3"/>
    <w:multiLevelType w:val="hybridMultilevel"/>
    <w:tmpl w:val="30300EDA"/>
    <w:lvl w:ilvl="0" w:tplc="22821698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0036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71169"/>
    <w:multiLevelType w:val="hybridMultilevel"/>
    <w:tmpl w:val="BD62FBEC"/>
    <w:lvl w:ilvl="0" w:tplc="CC325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A5"/>
    <w:rsid w:val="00672DAB"/>
    <w:rsid w:val="009060A5"/>
    <w:rsid w:val="009E5A36"/>
    <w:rsid w:val="00C4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игорь</cp:lastModifiedBy>
  <cp:revision>2</cp:revision>
  <dcterms:created xsi:type="dcterms:W3CDTF">2014-06-25T11:03:00Z</dcterms:created>
  <dcterms:modified xsi:type="dcterms:W3CDTF">2015-04-24T16:50:00Z</dcterms:modified>
</cp:coreProperties>
</file>